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88" w:rsidRPr="00F41405" w:rsidRDefault="00C35E88" w:rsidP="005C580A">
      <w:pPr>
        <w:pStyle w:val="Subtitle"/>
        <w:jc w:val="left"/>
        <w:rPr>
          <w:rFonts w:asciiTheme="minorHAnsi" w:hAnsiTheme="minorHAnsi"/>
          <w:color w:val="000000" w:themeColor="text1"/>
          <w:sz w:val="20"/>
          <w:szCs w:val="20"/>
          <w:lang w:val="hu-HU"/>
        </w:rPr>
      </w:pPr>
      <w:r w:rsidRPr="00F41405">
        <w:rPr>
          <w:rFonts w:asciiTheme="minorHAnsi" w:hAnsiTheme="minorHAnsi"/>
          <w:color w:val="000000" w:themeColor="text1"/>
          <w:sz w:val="20"/>
          <w:szCs w:val="20"/>
          <w:lang w:val="hu-HU"/>
        </w:rPr>
        <w:br/>
      </w:r>
      <w:r w:rsidR="0028550C" w:rsidRPr="00F41405">
        <w:rPr>
          <w:rFonts w:asciiTheme="minorHAnsi" w:hAnsiTheme="minorHAnsi"/>
          <w:color w:val="000000" w:themeColor="text1"/>
          <w:sz w:val="20"/>
          <w:szCs w:val="20"/>
          <w:lang w:val="hu-HU"/>
        </w:rPr>
        <w:t>Bécs</w:t>
      </w:r>
      <w:r w:rsidRPr="00F41405">
        <w:rPr>
          <w:rFonts w:asciiTheme="minorHAnsi" w:hAnsiTheme="minorHAnsi"/>
          <w:color w:val="000000" w:themeColor="text1"/>
          <w:sz w:val="20"/>
          <w:szCs w:val="20"/>
          <w:lang w:val="hu-HU"/>
        </w:rPr>
        <w:t xml:space="preserve">, </w:t>
      </w:r>
      <w:r w:rsidR="0028550C" w:rsidRPr="00F41405">
        <w:rPr>
          <w:rFonts w:asciiTheme="minorHAnsi" w:hAnsiTheme="minorHAnsi"/>
          <w:color w:val="000000" w:themeColor="text1"/>
          <w:sz w:val="20"/>
          <w:szCs w:val="20"/>
          <w:lang w:val="hu-HU"/>
        </w:rPr>
        <w:t>2017</w:t>
      </w:r>
      <w:r w:rsidR="0028550C" w:rsidRPr="00F41405">
        <w:rPr>
          <w:rFonts w:asciiTheme="minorHAnsi" w:hAnsiTheme="minorHAnsi"/>
          <w:color w:val="000000" w:themeColor="text1"/>
          <w:sz w:val="20"/>
          <w:szCs w:val="20"/>
          <w:lang w:val="hu-HU"/>
        </w:rPr>
        <w:t xml:space="preserve"> Február 17.</w:t>
      </w:r>
    </w:p>
    <w:p w:rsidR="00C35E88" w:rsidRPr="00F41405" w:rsidRDefault="0028550C" w:rsidP="005C580A">
      <w:pPr>
        <w:rPr>
          <w:b/>
          <w:lang w:val="hu-HU"/>
        </w:rPr>
      </w:pPr>
      <w:r w:rsidRPr="00F41405">
        <w:rPr>
          <w:b/>
          <w:lang w:val="hu-HU"/>
        </w:rPr>
        <w:t xml:space="preserve">A </w:t>
      </w:r>
      <w:r w:rsidR="00C35E88" w:rsidRPr="00F41405">
        <w:rPr>
          <w:b/>
          <w:lang w:val="hu-HU"/>
        </w:rPr>
        <w:t xml:space="preserve">Holzindustrie Schweighofer </w:t>
      </w:r>
      <w:r w:rsidRPr="00F41405">
        <w:rPr>
          <w:b/>
          <w:lang w:val="hu-HU"/>
        </w:rPr>
        <w:t xml:space="preserve">a </w:t>
      </w:r>
      <w:r w:rsidR="006A286D" w:rsidRPr="006A286D">
        <w:rPr>
          <w:b/>
          <w:lang w:val="hu-HU"/>
        </w:rPr>
        <w:t>Fenntartható Erdőgazdálkodási Tanács</w:t>
      </w:r>
      <w:r w:rsidR="006A286D">
        <w:rPr>
          <w:b/>
          <w:lang w:val="hu-HU"/>
        </w:rPr>
        <w:t xml:space="preserve"> (</w:t>
      </w:r>
      <w:r w:rsidRPr="00F41405">
        <w:rPr>
          <w:b/>
          <w:lang w:val="hu-HU"/>
        </w:rPr>
        <w:t>FSC®</w:t>
      </w:r>
      <w:r w:rsidR="006A286D">
        <w:rPr>
          <w:b/>
          <w:lang w:val="hu-HU"/>
        </w:rPr>
        <w:t>)</w:t>
      </w:r>
      <w:r w:rsidRPr="00F41405">
        <w:rPr>
          <w:b/>
          <w:lang w:val="hu-HU"/>
        </w:rPr>
        <w:t xml:space="preserve"> döntéséről, mely szerint felbontja a társulást vállalatunkkal</w:t>
      </w:r>
      <w:r w:rsidR="00C35E88" w:rsidRPr="00F41405">
        <w:rPr>
          <w:b/>
          <w:lang w:val="hu-HU"/>
        </w:rPr>
        <w:t>: ”</w:t>
      </w:r>
      <w:r w:rsidRPr="00F41405">
        <w:rPr>
          <w:b/>
          <w:lang w:val="hu-HU"/>
        </w:rPr>
        <w:t>Továbbra is azon akcióterv szerint fogunk dolgozni, amely a fenntartható fafeldolgozást szolgálja Romániában</w:t>
      </w:r>
      <w:r w:rsidR="00C35E88" w:rsidRPr="00F41405">
        <w:rPr>
          <w:b/>
          <w:lang w:val="hu-HU"/>
        </w:rPr>
        <w:t>”</w:t>
      </w:r>
    </w:p>
    <w:p w:rsidR="0028550C" w:rsidRPr="00F41405" w:rsidRDefault="0028550C" w:rsidP="005C580A">
      <w:pPr>
        <w:pStyle w:val="ListParagraph"/>
        <w:numPr>
          <w:ilvl w:val="0"/>
          <w:numId w:val="4"/>
        </w:numPr>
        <w:rPr>
          <w:b/>
          <w:lang w:val="hu-HU"/>
        </w:rPr>
      </w:pPr>
      <w:r w:rsidRPr="00F41405">
        <w:rPr>
          <w:b/>
          <w:lang w:val="hu-HU"/>
        </w:rPr>
        <w:t>Konstruktív párbeszéd</w:t>
      </w:r>
      <w:r w:rsidR="009D7E33" w:rsidRPr="00F41405">
        <w:rPr>
          <w:b/>
          <w:lang w:val="hu-HU"/>
        </w:rPr>
        <w:t>et folytatunk</w:t>
      </w:r>
      <w:r w:rsidR="006A286D">
        <w:rPr>
          <w:b/>
          <w:lang w:val="hu-HU"/>
        </w:rPr>
        <w:t xml:space="preserve"> az </w:t>
      </w:r>
      <w:r w:rsidR="009D7E33" w:rsidRPr="00F41405">
        <w:rPr>
          <w:b/>
          <w:lang w:val="hu-HU"/>
        </w:rPr>
        <w:t>FSC®</w:t>
      </w:r>
      <w:r w:rsidR="00C35E88" w:rsidRPr="00F41405">
        <w:rPr>
          <w:b/>
          <w:lang w:val="hu-HU"/>
        </w:rPr>
        <w:t xml:space="preserve"> </w:t>
      </w:r>
      <w:r w:rsidRPr="00F41405">
        <w:rPr>
          <w:b/>
          <w:lang w:val="hu-HU"/>
        </w:rPr>
        <w:t xml:space="preserve">szervezettel, hogy kidolgozzunk egy </w:t>
      </w:r>
      <w:r w:rsidR="00C76547" w:rsidRPr="00F41405">
        <w:rPr>
          <w:b/>
          <w:lang w:val="hu-HU"/>
        </w:rPr>
        <w:t xml:space="preserve">újratársulási </w:t>
      </w:r>
      <w:r w:rsidRPr="00F41405">
        <w:rPr>
          <w:b/>
          <w:lang w:val="hu-HU"/>
        </w:rPr>
        <w:t>tervet.</w:t>
      </w:r>
    </w:p>
    <w:p w:rsidR="00C35E88" w:rsidRPr="00F41405" w:rsidRDefault="009D7E33" w:rsidP="005C580A">
      <w:pPr>
        <w:pStyle w:val="ListParagraph"/>
        <w:numPr>
          <w:ilvl w:val="0"/>
          <w:numId w:val="4"/>
        </w:numPr>
        <w:rPr>
          <w:b/>
          <w:lang w:val="hu-HU"/>
        </w:rPr>
      </w:pPr>
      <w:r w:rsidRPr="00F41405">
        <w:rPr>
          <w:b/>
          <w:lang w:val="hu-HU"/>
        </w:rPr>
        <w:t xml:space="preserve">Továbbra is elkötelezettek maradunk az illegális fakitermelés elleni </w:t>
      </w:r>
      <w:proofErr w:type="gramStart"/>
      <w:r w:rsidRPr="00F41405">
        <w:rPr>
          <w:b/>
          <w:lang w:val="hu-HU"/>
        </w:rPr>
        <w:t>harcban</w:t>
      </w:r>
      <w:proofErr w:type="gramEnd"/>
      <w:r w:rsidRPr="00F41405">
        <w:rPr>
          <w:b/>
          <w:lang w:val="hu-HU"/>
        </w:rPr>
        <w:t xml:space="preserve"> Romániában, annak ellenére, hogy vállalatunk nem végez erdőkitermelési műveleteket.</w:t>
      </w:r>
    </w:p>
    <w:p w:rsidR="00C35E88" w:rsidRPr="00F41405" w:rsidRDefault="009D7E33" w:rsidP="005C580A">
      <w:pPr>
        <w:pStyle w:val="ListParagraph"/>
        <w:numPr>
          <w:ilvl w:val="0"/>
          <w:numId w:val="4"/>
        </w:numPr>
        <w:rPr>
          <w:b/>
          <w:lang w:val="hu-HU"/>
        </w:rPr>
      </w:pPr>
      <w:r w:rsidRPr="00F41405">
        <w:rPr>
          <w:b/>
          <w:lang w:val="hu-HU"/>
        </w:rPr>
        <w:t>Egy millió euró befektetés</w:t>
      </w:r>
      <w:r w:rsidR="006A286D">
        <w:rPr>
          <w:b/>
          <w:lang w:val="hu-HU"/>
        </w:rPr>
        <w:t xml:space="preserve"> </w:t>
      </w:r>
      <w:r w:rsidR="006A286D" w:rsidRPr="00F41405">
        <w:rPr>
          <w:b/>
          <w:lang w:val="hu-HU"/>
        </w:rPr>
        <w:t>2017</w:t>
      </w:r>
      <w:r w:rsidR="006A286D">
        <w:rPr>
          <w:b/>
          <w:lang w:val="hu-HU"/>
        </w:rPr>
        <w:t>-ben is</w:t>
      </w:r>
      <w:r w:rsidRPr="00F41405">
        <w:rPr>
          <w:b/>
          <w:lang w:val="hu-HU"/>
        </w:rPr>
        <w:t>, annak érdekében, hogy biztonságosab</w:t>
      </w:r>
      <w:r w:rsidR="006A286D">
        <w:rPr>
          <w:b/>
          <w:lang w:val="hu-HU"/>
        </w:rPr>
        <w:t>bá tegyük beszerzési láncunkat Romániá</w:t>
      </w:r>
      <w:r w:rsidRPr="00F41405">
        <w:rPr>
          <w:b/>
          <w:lang w:val="hu-HU"/>
        </w:rPr>
        <w:t>ban.</w:t>
      </w:r>
    </w:p>
    <w:p w:rsidR="00C35E88" w:rsidRPr="00F41405" w:rsidRDefault="009D7E33" w:rsidP="005C580A">
      <w:pPr>
        <w:pStyle w:val="ListParagraph"/>
        <w:numPr>
          <w:ilvl w:val="0"/>
          <w:numId w:val="4"/>
        </w:numPr>
        <w:rPr>
          <w:b/>
          <w:lang w:val="hu-HU"/>
        </w:rPr>
      </w:pPr>
      <w:r w:rsidRPr="00F41405">
        <w:rPr>
          <w:b/>
          <w:lang w:val="hu-HU"/>
        </w:rPr>
        <w:t xml:space="preserve">Továbbra is támogatjuk az </w:t>
      </w:r>
      <w:r w:rsidRPr="00F41405">
        <w:rPr>
          <w:b/>
          <w:lang w:val="hu-HU"/>
        </w:rPr>
        <w:t>FSC®</w:t>
      </w:r>
      <w:r w:rsidRPr="00F41405">
        <w:rPr>
          <w:b/>
          <w:lang w:val="hu-HU"/>
        </w:rPr>
        <w:t xml:space="preserve"> standardok bevezetését a romániai ellátási láncban</w:t>
      </w:r>
      <w:r w:rsidR="006A286D">
        <w:rPr>
          <w:b/>
          <w:lang w:val="hu-HU"/>
        </w:rPr>
        <w:t>.</w:t>
      </w:r>
    </w:p>
    <w:p w:rsidR="005E79E1" w:rsidRPr="00F41405" w:rsidRDefault="005E79E1" w:rsidP="005C580A">
      <w:pPr>
        <w:pStyle w:val="ListParagraph"/>
        <w:ind w:left="1080"/>
        <w:rPr>
          <w:b/>
          <w:lang w:val="hu-HU"/>
        </w:rPr>
      </w:pPr>
    </w:p>
    <w:p w:rsidR="009D7E33" w:rsidRPr="00F41405" w:rsidRDefault="009D7E33" w:rsidP="005C580A">
      <w:pPr>
        <w:rPr>
          <w:b/>
          <w:lang w:val="hu-HU"/>
        </w:rPr>
      </w:pPr>
      <w:r w:rsidRPr="00F41405">
        <w:rPr>
          <w:b/>
          <w:lang w:val="hu-HU"/>
        </w:rPr>
        <w:t xml:space="preserve">Az </w:t>
      </w:r>
      <w:r w:rsidRPr="00F41405">
        <w:rPr>
          <w:b/>
          <w:lang w:val="hu-HU"/>
        </w:rPr>
        <w:t>FSC®</w:t>
      </w:r>
      <w:r w:rsidRPr="00F41405">
        <w:rPr>
          <w:b/>
          <w:lang w:val="hu-HU"/>
        </w:rPr>
        <w:t xml:space="preserve"> döntése, mely szerint </w:t>
      </w:r>
      <w:r w:rsidRPr="00F41405">
        <w:rPr>
          <w:b/>
          <w:lang w:val="hu-HU"/>
        </w:rPr>
        <w:t>felbontja a társulást</w:t>
      </w:r>
      <w:r w:rsidRPr="00F41405">
        <w:rPr>
          <w:b/>
          <w:lang w:val="hu-HU"/>
        </w:rPr>
        <w:t xml:space="preserve"> a </w:t>
      </w:r>
      <w:r w:rsidRPr="00F41405">
        <w:rPr>
          <w:b/>
          <w:lang w:val="hu-HU"/>
        </w:rPr>
        <w:t>Schweighofer</w:t>
      </w:r>
      <w:r w:rsidRPr="00F41405">
        <w:rPr>
          <w:b/>
          <w:lang w:val="hu-HU"/>
        </w:rPr>
        <w:t xml:space="preserve"> Csoporttal</w:t>
      </w:r>
      <w:r w:rsidR="006A286D">
        <w:rPr>
          <w:b/>
          <w:lang w:val="hu-HU"/>
        </w:rPr>
        <w:t>,</w:t>
      </w:r>
      <w:r w:rsidRPr="00F41405">
        <w:rPr>
          <w:b/>
          <w:lang w:val="hu-HU"/>
        </w:rPr>
        <w:t xml:space="preserve"> számunkra arra ad okot, hogy még intenzívebbé tegyük ellenőrző rendszereinket, annak érdekében, hogy a romániai ellátási lánc fenntartható legyen. 2017 január közepén vállalatunk egy sor olyan intézkedést mutatott be, amelyeknek az a</w:t>
      </w:r>
      <w:r w:rsidR="006A286D">
        <w:rPr>
          <w:b/>
          <w:lang w:val="hu-HU"/>
        </w:rPr>
        <w:t xml:space="preserve"> </w:t>
      </w:r>
      <w:r w:rsidRPr="00F41405">
        <w:rPr>
          <w:b/>
          <w:lang w:val="hu-HU"/>
        </w:rPr>
        <w:t>célja, hogy új alapokra helyezze a biztonságot</w:t>
      </w:r>
      <w:r w:rsidR="00C76547" w:rsidRPr="00F41405">
        <w:rPr>
          <w:b/>
          <w:lang w:val="hu-HU"/>
        </w:rPr>
        <w:t xml:space="preserve">. Ezek előzmény nélküliek Romániában, és jóval túlmutatnak a törvényes előírásokon. 2017-ben a </w:t>
      </w:r>
      <w:r w:rsidR="00C76547" w:rsidRPr="00F41405">
        <w:rPr>
          <w:b/>
          <w:lang w:val="hu-HU"/>
        </w:rPr>
        <w:t>Schweighofer</w:t>
      </w:r>
      <w:r w:rsidR="00C76547" w:rsidRPr="00F41405">
        <w:rPr>
          <w:b/>
          <w:lang w:val="hu-HU"/>
        </w:rPr>
        <w:t xml:space="preserve"> csoport egy millió eurót fektet új ellenőrző rendszerébe. Vállalatunk eltökélt, hogy mindent megtegyen annak érdekében, hogy meggyőzze az </w:t>
      </w:r>
      <w:r w:rsidR="00C76547" w:rsidRPr="00F41405">
        <w:rPr>
          <w:b/>
          <w:lang w:val="hu-HU"/>
        </w:rPr>
        <w:t>FSC®</w:t>
      </w:r>
      <w:r w:rsidR="00C76547" w:rsidRPr="00F41405">
        <w:rPr>
          <w:b/>
          <w:lang w:val="hu-HU"/>
        </w:rPr>
        <w:t xml:space="preserve">-t és a többi érdekelt felet arról, hogy az új rendszer hatékonyan fog működni. A </w:t>
      </w:r>
      <w:r w:rsidR="00C76547" w:rsidRPr="00F41405">
        <w:rPr>
          <w:b/>
          <w:lang w:val="hu-HU"/>
        </w:rPr>
        <w:t>Holzindustrie Shweighofer</w:t>
      </w:r>
      <w:r w:rsidR="00C76547" w:rsidRPr="00F41405">
        <w:rPr>
          <w:b/>
          <w:lang w:val="hu-HU"/>
        </w:rPr>
        <w:t xml:space="preserve"> azt szeretné, hogy az </w:t>
      </w:r>
      <w:r w:rsidR="00C76547" w:rsidRPr="00F41405">
        <w:rPr>
          <w:b/>
          <w:lang w:val="hu-HU"/>
        </w:rPr>
        <w:t>FSC®</w:t>
      </w:r>
      <w:r w:rsidR="00C76547" w:rsidRPr="00F41405">
        <w:rPr>
          <w:b/>
          <w:lang w:val="hu-HU"/>
        </w:rPr>
        <w:t>-vel együtt kidolgozzon</w:t>
      </w:r>
      <w:r w:rsidR="00C76547" w:rsidRPr="00F41405">
        <w:rPr>
          <w:b/>
          <w:lang w:val="hu-HU"/>
        </w:rPr>
        <w:t xml:space="preserve"> egy újratársulási tervet</w:t>
      </w:r>
      <w:r w:rsidR="00C76547" w:rsidRPr="00F41405">
        <w:rPr>
          <w:b/>
          <w:lang w:val="hu-HU"/>
        </w:rPr>
        <w:t>, a lehető leghamarabb.</w:t>
      </w:r>
    </w:p>
    <w:p w:rsidR="00C76547" w:rsidRPr="00F41405" w:rsidRDefault="00C76547" w:rsidP="005C580A">
      <w:pPr>
        <w:rPr>
          <w:lang w:val="hu-HU"/>
        </w:rPr>
      </w:pPr>
      <w:r w:rsidRPr="00F41405">
        <w:rPr>
          <w:lang w:val="hu-HU"/>
        </w:rPr>
        <w:t xml:space="preserve">Az </w:t>
      </w:r>
      <w:r w:rsidRPr="00F41405">
        <w:rPr>
          <w:lang w:val="hu-HU"/>
        </w:rPr>
        <w:t>FSC®</w:t>
      </w:r>
      <w:r w:rsidRPr="00F41405">
        <w:rPr>
          <w:lang w:val="hu-HU"/>
        </w:rPr>
        <w:t xml:space="preserve"> értékelte a </w:t>
      </w:r>
      <w:r w:rsidRPr="00F41405">
        <w:rPr>
          <w:color w:val="000000" w:themeColor="text1"/>
          <w:lang w:val="hu-HU"/>
        </w:rPr>
        <w:t>Holzindustrie Schweighofer</w:t>
      </w:r>
      <w:r w:rsidRPr="00F41405">
        <w:rPr>
          <w:color w:val="000000" w:themeColor="text1"/>
          <w:lang w:val="hu-HU"/>
        </w:rPr>
        <w:t xml:space="preserve"> akciótervét, amelyet az elmúlt három hónapban vezettünk be, és elismerte, hogy ez jó kiindulási pont lehet a párbeszéd folytatására és egy </w:t>
      </w:r>
      <w:r w:rsidRPr="00F41405">
        <w:rPr>
          <w:lang w:val="hu-HU"/>
        </w:rPr>
        <w:t>újratársulási</w:t>
      </w:r>
      <w:r w:rsidRPr="00F41405">
        <w:rPr>
          <w:lang w:val="hu-HU"/>
        </w:rPr>
        <w:t xml:space="preserve"> terv kidolgozására.</w:t>
      </w:r>
    </w:p>
    <w:p w:rsidR="00C76547" w:rsidRPr="00F41405" w:rsidRDefault="00DF02B5" w:rsidP="005C580A">
      <w:pPr>
        <w:rPr>
          <w:lang w:val="hu-HU"/>
        </w:rPr>
      </w:pPr>
      <w:r w:rsidRPr="00F41405">
        <w:rPr>
          <w:lang w:val="hu-HU"/>
        </w:rPr>
        <w:t xml:space="preserve">Az </w:t>
      </w:r>
      <w:r w:rsidRPr="00F41405">
        <w:rPr>
          <w:lang w:val="hu-HU"/>
        </w:rPr>
        <w:t>FSC®</w:t>
      </w:r>
      <w:r w:rsidRPr="00F41405">
        <w:rPr>
          <w:lang w:val="hu-HU"/>
        </w:rPr>
        <w:t xml:space="preserve"> a döntést az</w:t>
      </w:r>
      <w:r w:rsidR="006A286D">
        <w:rPr>
          <w:lang w:val="hu-HU"/>
        </w:rPr>
        <w:t>on információ</w:t>
      </w:r>
      <w:r w:rsidRPr="00F41405">
        <w:rPr>
          <w:lang w:val="hu-HU"/>
        </w:rPr>
        <w:t xml:space="preserve"> bi</w:t>
      </w:r>
      <w:r w:rsidR="001C6C3E" w:rsidRPr="00F41405">
        <w:rPr>
          <w:lang w:val="hu-HU"/>
        </w:rPr>
        <w:t xml:space="preserve">rtokában hozta, hogy felmerült a </w:t>
      </w:r>
      <w:r w:rsidR="001C6C3E" w:rsidRPr="00F41405">
        <w:rPr>
          <w:lang w:val="hu-HU"/>
        </w:rPr>
        <w:t>gyanú</w:t>
      </w:r>
      <w:r w:rsidR="001C6C3E" w:rsidRPr="00F41405">
        <w:rPr>
          <w:lang w:val="hu-HU"/>
        </w:rPr>
        <w:t xml:space="preserve"> a faanyag mérési standardok lehetséges megsértéséről</w:t>
      </w:r>
      <w:r w:rsidR="006A286D">
        <w:rPr>
          <w:lang w:val="hu-HU"/>
        </w:rPr>
        <w:t xml:space="preserve">, </w:t>
      </w:r>
      <w:r w:rsidR="001C6C3E" w:rsidRPr="00F41405">
        <w:rPr>
          <w:lang w:val="hu-HU"/>
        </w:rPr>
        <w:t xml:space="preserve">éppen a próbaidő alatt. Az </w:t>
      </w:r>
      <w:r w:rsidR="001C6C3E" w:rsidRPr="00F41405">
        <w:rPr>
          <w:lang w:val="hu-HU"/>
        </w:rPr>
        <w:t>FSC®</w:t>
      </w:r>
      <w:r w:rsidR="001C6C3E" w:rsidRPr="00F41405">
        <w:rPr>
          <w:lang w:val="hu-HU"/>
        </w:rPr>
        <w:t xml:space="preserve"> igazgatótanácsa ennek fényében hozta a döntését, amely a fenntarthatósági tanúsítvány végleges visszavonásához és a kizáráshoz vezetett.</w:t>
      </w:r>
    </w:p>
    <w:p w:rsidR="001C6C3E" w:rsidRPr="00F41405" w:rsidRDefault="001C6C3E" w:rsidP="005C580A">
      <w:pPr>
        <w:rPr>
          <w:color w:val="000000" w:themeColor="text1"/>
          <w:lang w:val="hu-HU"/>
        </w:rPr>
      </w:pPr>
      <w:r w:rsidRPr="00F41405">
        <w:rPr>
          <w:color w:val="000000" w:themeColor="text1"/>
          <w:lang w:val="hu-HU"/>
        </w:rPr>
        <w:t>Annak fényében, hogy a</w:t>
      </w:r>
      <w:r w:rsidR="00DF02B5" w:rsidRPr="00F41405">
        <w:rPr>
          <w:color w:val="000000" w:themeColor="text1"/>
          <w:lang w:val="hu-HU"/>
        </w:rPr>
        <w:t xml:space="preserve"> Holzindustrie Schweighofer</w:t>
      </w:r>
      <w:r w:rsidRPr="00F41405">
        <w:rPr>
          <w:color w:val="000000" w:themeColor="text1"/>
          <w:lang w:val="hu-HU"/>
        </w:rPr>
        <w:t xml:space="preserve"> mérőeszközeit kalibrálta és olyan rendszert használ, amely szigorúan követ</w:t>
      </w:r>
      <w:r w:rsidR="006A286D">
        <w:rPr>
          <w:color w:val="000000" w:themeColor="text1"/>
          <w:lang w:val="hu-HU"/>
        </w:rPr>
        <w:t>i a törvényes előírásokat, ez a</w:t>
      </w:r>
      <w:r w:rsidRPr="00F41405">
        <w:rPr>
          <w:color w:val="000000" w:themeColor="text1"/>
          <w:lang w:val="hu-HU"/>
        </w:rPr>
        <w:t xml:space="preserve"> vád meglepő vállalatunk számára. Ennek ellenére vállalatunk garantálja, hogy teljes mértékben együttműködik az </w:t>
      </w:r>
      <w:r w:rsidRPr="00F41405">
        <w:rPr>
          <w:lang w:val="hu-HU"/>
        </w:rPr>
        <w:t>FSC®</w:t>
      </w:r>
      <w:r w:rsidRPr="00F41405">
        <w:rPr>
          <w:lang w:val="hu-HU"/>
        </w:rPr>
        <w:t xml:space="preserve">-vel abban, hogy további vizsgálódásokat folyathassanak. </w:t>
      </w:r>
      <w:r w:rsidR="008813F8" w:rsidRPr="00F41405">
        <w:rPr>
          <w:lang w:val="hu-HU"/>
        </w:rPr>
        <w:t xml:space="preserve">Sőt a </w:t>
      </w:r>
      <w:r w:rsidR="008813F8" w:rsidRPr="00F41405">
        <w:rPr>
          <w:color w:val="000000" w:themeColor="text1"/>
          <w:lang w:val="hu-HU"/>
        </w:rPr>
        <w:t>Holzindustrie Schweighofer</w:t>
      </w:r>
      <w:r w:rsidR="008813F8" w:rsidRPr="00F41405">
        <w:rPr>
          <w:color w:val="000000" w:themeColor="text1"/>
          <w:lang w:val="hu-HU"/>
        </w:rPr>
        <w:t xml:space="preserve"> mindent megtesz annak érdekében, hogy meggyőzze az </w:t>
      </w:r>
      <w:r w:rsidR="008813F8" w:rsidRPr="00F41405">
        <w:rPr>
          <w:lang w:val="hu-HU"/>
        </w:rPr>
        <w:t>FSC®</w:t>
      </w:r>
      <w:r w:rsidR="008813F8" w:rsidRPr="00F41405">
        <w:rPr>
          <w:lang w:val="hu-HU"/>
        </w:rPr>
        <w:t>-t és a többi érdekelt fele</w:t>
      </w:r>
      <w:r w:rsidR="006A286D">
        <w:rPr>
          <w:lang w:val="hu-HU"/>
        </w:rPr>
        <w:t>t</w:t>
      </w:r>
      <w:r w:rsidR="008813F8" w:rsidRPr="00F41405">
        <w:rPr>
          <w:lang w:val="hu-HU"/>
        </w:rPr>
        <w:t xml:space="preserve"> arról, hogy hatékony intézkedéseket hozott és elkötelezett </w:t>
      </w:r>
      <w:r w:rsidR="006A286D" w:rsidRPr="00F41405">
        <w:rPr>
          <w:lang w:val="hu-HU"/>
        </w:rPr>
        <w:t xml:space="preserve">egy fenntartható </w:t>
      </w:r>
      <w:r w:rsidR="006A286D">
        <w:rPr>
          <w:lang w:val="hu-HU"/>
        </w:rPr>
        <w:t xml:space="preserve">bizniszt </w:t>
      </w:r>
      <w:r w:rsidR="006A286D">
        <w:rPr>
          <w:lang w:val="hu-HU"/>
        </w:rPr>
        <w:t>iránt.</w:t>
      </w:r>
    </w:p>
    <w:p w:rsidR="001C6C3E" w:rsidRPr="00F41405" w:rsidRDefault="001C6C3E" w:rsidP="005C580A">
      <w:pPr>
        <w:rPr>
          <w:color w:val="000000" w:themeColor="text1"/>
          <w:lang w:val="hu-HU"/>
        </w:rPr>
      </w:pPr>
    </w:p>
    <w:p w:rsidR="00DF02B5" w:rsidRPr="00F41405" w:rsidRDefault="008813F8" w:rsidP="005C580A">
      <w:pPr>
        <w:rPr>
          <w:b/>
          <w:lang w:val="hu-HU"/>
        </w:rPr>
      </w:pPr>
      <w:r w:rsidRPr="00F41405">
        <w:rPr>
          <w:b/>
          <w:lang w:val="hu-HU"/>
        </w:rPr>
        <w:t>Harc az illegális erdőkitermelés ellen Romániában</w:t>
      </w:r>
    </w:p>
    <w:p w:rsidR="008813F8" w:rsidRPr="00F41405" w:rsidRDefault="00DF02B5" w:rsidP="005C580A">
      <w:pPr>
        <w:rPr>
          <w:lang w:val="hu-HU"/>
        </w:rPr>
      </w:pPr>
      <w:r w:rsidRPr="00F41405">
        <w:rPr>
          <w:lang w:val="hu-HU"/>
        </w:rPr>
        <w:t xml:space="preserve">Frank Aigner, </w:t>
      </w:r>
      <w:r w:rsidR="008813F8" w:rsidRPr="00F41405">
        <w:rPr>
          <w:lang w:val="hu-HU"/>
        </w:rPr>
        <w:t xml:space="preserve">a </w:t>
      </w:r>
      <w:r w:rsidR="008813F8" w:rsidRPr="00F41405">
        <w:rPr>
          <w:lang w:val="hu-HU"/>
        </w:rPr>
        <w:t>Schweighofer</w:t>
      </w:r>
      <w:r w:rsidR="008813F8" w:rsidRPr="00F41405">
        <w:rPr>
          <w:lang w:val="hu-HU"/>
        </w:rPr>
        <w:t xml:space="preserve"> </w:t>
      </w:r>
      <w:r w:rsidR="00F51309">
        <w:rPr>
          <w:lang w:val="hu-HU"/>
        </w:rPr>
        <w:t>C</w:t>
      </w:r>
      <w:r w:rsidR="008813F8" w:rsidRPr="00F41405">
        <w:rPr>
          <w:lang w:val="hu-HU"/>
        </w:rPr>
        <w:t>soport vezérigazgatója szerint: „A</w:t>
      </w:r>
      <w:r w:rsidR="008813F8" w:rsidRPr="00F41405">
        <w:rPr>
          <w:lang w:val="hu-HU"/>
        </w:rPr>
        <w:t>z illegális erdőkitermelés ellen</w:t>
      </w:r>
      <w:r w:rsidR="008813F8" w:rsidRPr="00F41405">
        <w:rPr>
          <w:lang w:val="hu-HU"/>
        </w:rPr>
        <w:t xml:space="preserve"> folytatott harcunkon ez a helyzet mit sem változtat, annak ellenére, hogy mi Romániában </w:t>
      </w:r>
      <w:r w:rsidR="008813F8" w:rsidRPr="00F41405">
        <w:rPr>
          <w:lang w:val="hu-HU"/>
        </w:rPr>
        <w:lastRenderedPageBreak/>
        <w:t xml:space="preserve">erdőkitermeléssel nem foglalkozunk. Továbbra is teljes átláthatósággal fogunk dolgozni, folytatjuk a párbeszédet a környezetvédő civil szervezetekkel, és gyakorlatba ültetjük azon terveinket, amelyek Romániában a fenntartható erdőgazdálkodást szolgálják”. A vállalat folytatja a konstruktív párbeszédet az </w:t>
      </w:r>
      <w:r w:rsidR="008813F8" w:rsidRPr="00F41405">
        <w:rPr>
          <w:lang w:val="hu-HU"/>
        </w:rPr>
        <w:t>FSC®-vel</w:t>
      </w:r>
      <w:r w:rsidR="008813F8" w:rsidRPr="00F41405">
        <w:rPr>
          <w:lang w:val="hu-HU"/>
        </w:rPr>
        <w:t>, annak ellenére, hogy felbontották velünk a társulást.</w:t>
      </w:r>
    </w:p>
    <w:p w:rsidR="008813F8" w:rsidRPr="00F41405" w:rsidRDefault="008813F8" w:rsidP="005C580A">
      <w:pPr>
        <w:rPr>
          <w:b/>
          <w:lang w:val="hu-HU"/>
        </w:rPr>
      </w:pPr>
      <w:r w:rsidRPr="00F41405">
        <w:rPr>
          <w:b/>
          <w:lang w:val="hu-HU"/>
        </w:rPr>
        <w:t xml:space="preserve">A </w:t>
      </w:r>
      <w:r w:rsidR="00DF02B5" w:rsidRPr="00F41405">
        <w:rPr>
          <w:b/>
          <w:lang w:val="hu-HU"/>
        </w:rPr>
        <w:t xml:space="preserve">Holzindustrie Schweighofer </w:t>
      </w:r>
      <w:r w:rsidRPr="00F41405">
        <w:rPr>
          <w:b/>
          <w:lang w:val="hu-HU"/>
        </w:rPr>
        <w:t>támogatja a tanú</w:t>
      </w:r>
      <w:r w:rsidR="00F51309">
        <w:rPr>
          <w:b/>
          <w:lang w:val="hu-HU"/>
        </w:rPr>
        <w:t>sítvány megszerzését Romániában</w:t>
      </w:r>
    </w:p>
    <w:p w:rsidR="008813F8" w:rsidRPr="00F41405" w:rsidRDefault="008813F8" w:rsidP="005C580A">
      <w:pPr>
        <w:rPr>
          <w:lang w:val="hu-HU"/>
        </w:rPr>
      </w:pPr>
      <w:r w:rsidRPr="00F41405">
        <w:rPr>
          <w:lang w:val="hu-HU"/>
        </w:rPr>
        <w:t>A folyamato</w:t>
      </w:r>
      <w:r w:rsidR="00F51309">
        <w:rPr>
          <w:lang w:val="hu-HU"/>
        </w:rPr>
        <w:t>s erőf</w:t>
      </w:r>
      <w:r w:rsidRPr="00F41405">
        <w:rPr>
          <w:lang w:val="hu-HU"/>
        </w:rPr>
        <w:t xml:space="preserve">eszítéseknek köszönhetően, </w:t>
      </w:r>
      <w:r w:rsidRPr="00F41405">
        <w:rPr>
          <w:lang w:val="hu-HU"/>
        </w:rPr>
        <w:t>Frank Aigner</w:t>
      </w:r>
      <w:r w:rsidRPr="00F41405">
        <w:rPr>
          <w:lang w:val="hu-HU"/>
        </w:rPr>
        <w:t xml:space="preserve"> bizakodó azzal kapcsolatban, hogy az </w:t>
      </w:r>
      <w:r w:rsidR="007C1A1B" w:rsidRPr="00F41405">
        <w:rPr>
          <w:lang w:val="hu-HU"/>
        </w:rPr>
        <w:t>újratársulási</w:t>
      </w:r>
      <w:r w:rsidR="007C1A1B" w:rsidRPr="00F41405">
        <w:rPr>
          <w:lang w:val="hu-HU"/>
        </w:rPr>
        <w:t xml:space="preserve"> folyamat hamarosan elkezdődhet. „A társulás felbontása vállalatunkkal jó kiindulópont arra, hogy higgadtan nekifogjunk ismét, új alapokra helyezzük kapcsolatunkat az </w:t>
      </w:r>
      <w:r w:rsidR="007C1A1B" w:rsidRPr="00F41405">
        <w:rPr>
          <w:lang w:val="hu-HU"/>
        </w:rPr>
        <w:t>FSC®-vel</w:t>
      </w:r>
      <w:r w:rsidR="007C1A1B" w:rsidRPr="00F41405">
        <w:rPr>
          <w:lang w:val="hu-HU"/>
        </w:rPr>
        <w:t xml:space="preserve">” – mondta </w:t>
      </w:r>
      <w:r w:rsidR="007C1A1B" w:rsidRPr="00F41405">
        <w:rPr>
          <w:lang w:val="hu-HU"/>
        </w:rPr>
        <w:t>Aigner</w:t>
      </w:r>
      <w:r w:rsidR="007C1A1B" w:rsidRPr="00F41405">
        <w:rPr>
          <w:lang w:val="hu-HU"/>
        </w:rPr>
        <w:t xml:space="preserve">. Azt is hangsúlyozta, hogy a </w:t>
      </w:r>
      <w:r w:rsidR="007C1A1B" w:rsidRPr="00F41405">
        <w:rPr>
          <w:lang w:val="hu-HU"/>
        </w:rPr>
        <w:t>Holzindustrie Schweighofer</w:t>
      </w:r>
      <w:r w:rsidR="007C1A1B" w:rsidRPr="00F41405">
        <w:rPr>
          <w:lang w:val="hu-HU"/>
        </w:rPr>
        <w:t xml:space="preserve"> továbbra is promoválni fogja az </w:t>
      </w:r>
      <w:r w:rsidR="007C1A1B" w:rsidRPr="00F41405">
        <w:rPr>
          <w:lang w:val="hu-HU"/>
        </w:rPr>
        <w:t>FSC®</w:t>
      </w:r>
      <w:r w:rsidR="00F51309">
        <w:rPr>
          <w:lang w:val="hu-HU"/>
        </w:rPr>
        <w:t xml:space="preserve"> standardokat és</w:t>
      </w:r>
      <w:r w:rsidR="007C1A1B" w:rsidRPr="00F41405">
        <w:rPr>
          <w:lang w:val="hu-HU"/>
        </w:rPr>
        <w:t xml:space="preserve"> az ellátási láncán belül az erre vonatkozó bónuszrendszert nem szünteti meg. „2012-tól beszállítóinkat már több mint egy millió</w:t>
      </w:r>
      <w:r w:rsidR="00F51309">
        <w:rPr>
          <w:lang w:val="hu-HU"/>
        </w:rPr>
        <w:t xml:space="preserve"> euróval támogattuk, hogyha tanú</w:t>
      </w:r>
      <w:r w:rsidR="007C1A1B" w:rsidRPr="00F41405">
        <w:rPr>
          <w:lang w:val="hu-HU"/>
        </w:rPr>
        <w:t xml:space="preserve">sított faanyagot hoztak. Ezt az elköteleződést továbbra is vállaljuk” – biztosított </w:t>
      </w:r>
      <w:r w:rsidR="007C1A1B" w:rsidRPr="00F41405">
        <w:rPr>
          <w:lang w:val="hu-HU"/>
        </w:rPr>
        <w:t>Aigner</w:t>
      </w:r>
      <w:r w:rsidR="007C1A1B" w:rsidRPr="00F41405">
        <w:rPr>
          <w:lang w:val="hu-HU"/>
        </w:rPr>
        <w:t>.</w:t>
      </w:r>
    </w:p>
    <w:p w:rsidR="00DF02B5" w:rsidRPr="00F41405" w:rsidRDefault="007C1A1B" w:rsidP="005C580A">
      <w:pPr>
        <w:spacing w:after="0"/>
        <w:rPr>
          <w:b/>
          <w:lang w:val="hu-HU"/>
        </w:rPr>
      </w:pPr>
      <w:r w:rsidRPr="00F41405">
        <w:rPr>
          <w:b/>
          <w:lang w:val="hu-HU"/>
        </w:rPr>
        <w:t xml:space="preserve">Az </w:t>
      </w:r>
      <w:r w:rsidRPr="00F41405">
        <w:rPr>
          <w:b/>
          <w:lang w:val="hu-HU"/>
        </w:rPr>
        <w:t xml:space="preserve">újratársulási </w:t>
      </w:r>
      <w:r w:rsidRPr="00F41405">
        <w:rPr>
          <w:b/>
          <w:lang w:val="hu-HU"/>
        </w:rPr>
        <w:t>terv</w:t>
      </w:r>
    </w:p>
    <w:p w:rsidR="007C1A1B" w:rsidRPr="00F41405" w:rsidRDefault="007C1A1B" w:rsidP="005C580A">
      <w:pPr>
        <w:spacing w:after="0"/>
        <w:rPr>
          <w:lang w:val="hu-HU"/>
        </w:rPr>
      </w:pPr>
      <w:r w:rsidRPr="00F41405">
        <w:rPr>
          <w:lang w:val="hu-HU"/>
        </w:rPr>
        <w:t>Frank Aigner</w:t>
      </w:r>
      <w:r w:rsidRPr="00F41405">
        <w:rPr>
          <w:lang w:val="hu-HU"/>
        </w:rPr>
        <w:t xml:space="preserve"> örömét fejezte ki, hogy az </w:t>
      </w:r>
      <w:r w:rsidRPr="00F41405">
        <w:rPr>
          <w:lang w:val="hu-HU"/>
        </w:rPr>
        <w:t>FSC®</w:t>
      </w:r>
      <w:r w:rsidRPr="00F41405">
        <w:rPr>
          <w:lang w:val="hu-HU"/>
        </w:rPr>
        <w:t xml:space="preserve"> elismerte a </w:t>
      </w:r>
      <w:r w:rsidRPr="00F41405">
        <w:rPr>
          <w:lang w:val="hu-HU"/>
        </w:rPr>
        <w:t>Holzindustrie Schweighofer</w:t>
      </w:r>
      <w:r w:rsidRPr="00F41405">
        <w:rPr>
          <w:lang w:val="hu-HU"/>
        </w:rPr>
        <w:t xml:space="preserve"> eddigi törekvéseit az elmúlt három hónapban. Ezek az intézkedések az </w:t>
      </w:r>
      <w:r w:rsidRPr="00F41405">
        <w:rPr>
          <w:lang w:val="hu-HU"/>
        </w:rPr>
        <w:t>FSC®</w:t>
      </w:r>
      <w:r w:rsidRPr="00F41405">
        <w:rPr>
          <w:lang w:val="hu-HU"/>
        </w:rPr>
        <w:t xml:space="preserve"> szerint is alapjai lehetnek ez </w:t>
      </w:r>
      <w:r w:rsidRPr="00F41405">
        <w:rPr>
          <w:lang w:val="hu-HU"/>
        </w:rPr>
        <w:t>újratársulási terv</w:t>
      </w:r>
      <w:r w:rsidRPr="00F41405">
        <w:rPr>
          <w:lang w:val="hu-HU"/>
        </w:rPr>
        <w:t xml:space="preserve"> kidolgozásának.</w:t>
      </w:r>
    </w:p>
    <w:p w:rsidR="007C1A1B" w:rsidRPr="00F41405" w:rsidRDefault="007C1A1B" w:rsidP="005C580A">
      <w:pPr>
        <w:spacing w:after="0"/>
        <w:rPr>
          <w:lang w:val="hu-HU"/>
        </w:rPr>
      </w:pPr>
    </w:p>
    <w:p w:rsidR="00DF02B5" w:rsidRPr="00F41405" w:rsidRDefault="00F51309" w:rsidP="005C580A">
      <w:pPr>
        <w:spacing w:after="0"/>
        <w:rPr>
          <w:b/>
          <w:lang w:val="hu-HU"/>
        </w:rPr>
      </w:pPr>
      <w:r>
        <w:rPr>
          <w:b/>
          <w:lang w:val="hu-HU"/>
        </w:rPr>
        <w:t>Következő lépések</w:t>
      </w:r>
    </w:p>
    <w:p w:rsidR="007C1A1B" w:rsidRPr="00F41405" w:rsidRDefault="007C1A1B" w:rsidP="005C580A">
      <w:pPr>
        <w:spacing w:after="0"/>
        <w:rPr>
          <w:lang w:val="hu-HU"/>
        </w:rPr>
      </w:pPr>
      <w:r w:rsidRPr="00F41405">
        <w:rPr>
          <w:lang w:val="hu-HU"/>
        </w:rPr>
        <w:t>„A k</w:t>
      </w:r>
      <w:r w:rsidRPr="00F41405">
        <w:rPr>
          <w:lang w:val="hu-HU"/>
        </w:rPr>
        <w:t xml:space="preserve">övetkező lépések </w:t>
      </w:r>
      <w:r w:rsidRPr="00F41405">
        <w:rPr>
          <w:lang w:val="hu-HU"/>
        </w:rPr>
        <w:t xml:space="preserve">számunkra világosak, mondja </w:t>
      </w:r>
      <w:r w:rsidRPr="00F41405">
        <w:rPr>
          <w:lang w:val="hu-HU"/>
        </w:rPr>
        <w:t>Frank Aigner</w:t>
      </w:r>
      <w:r w:rsidRPr="00F41405">
        <w:rPr>
          <w:lang w:val="hu-HU"/>
        </w:rPr>
        <w:t xml:space="preserve">. Habozás nélkül továbbra is tárgyalni fogunk az </w:t>
      </w:r>
      <w:r w:rsidRPr="00F41405">
        <w:rPr>
          <w:lang w:val="hu-HU"/>
        </w:rPr>
        <w:t>FSC®</w:t>
      </w:r>
      <w:r w:rsidRPr="00F41405">
        <w:rPr>
          <w:lang w:val="hu-HU"/>
        </w:rPr>
        <w:t>-vel és más civil szervezetekkel. Nyitottak vagyunk</w:t>
      </w:r>
      <w:r w:rsidR="00F51309">
        <w:rPr>
          <w:lang w:val="hu-HU"/>
        </w:rPr>
        <w:t>,</w:t>
      </w:r>
      <w:r w:rsidRPr="00F41405">
        <w:rPr>
          <w:lang w:val="hu-HU"/>
        </w:rPr>
        <w:t xml:space="preserve"> és teljes mértékben támogatjuk a további vizsgálódásokat, és azonnal értesíteni fogjuk a közönséget és az érdekelt feleket bármilyen helyzetváltozásról”.</w:t>
      </w:r>
    </w:p>
    <w:p w:rsidR="007C1A1B" w:rsidRPr="00F41405" w:rsidRDefault="007C1A1B" w:rsidP="005C580A">
      <w:pPr>
        <w:spacing w:after="0"/>
        <w:rPr>
          <w:lang w:val="hu-HU"/>
        </w:rPr>
      </w:pPr>
    </w:p>
    <w:p w:rsidR="00DF02B5" w:rsidRPr="00F41405" w:rsidRDefault="00DF02B5" w:rsidP="005C580A">
      <w:pPr>
        <w:spacing w:after="0"/>
        <w:rPr>
          <w:lang w:val="hu-HU"/>
        </w:rPr>
      </w:pPr>
    </w:p>
    <w:p w:rsidR="00DF02B5" w:rsidRPr="00F41405" w:rsidRDefault="0022356E" w:rsidP="005C580A">
      <w:pPr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</w:pPr>
      <w:r w:rsidRPr="00F41405"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  <w:t>További információk</w:t>
      </w:r>
    </w:p>
    <w:p w:rsidR="00DF02B5" w:rsidRPr="00F41405" w:rsidRDefault="0022356E" w:rsidP="005C580A">
      <w:pPr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</w:pPr>
      <w:r w:rsidRPr="00F41405"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  <w:t xml:space="preserve">A </w:t>
      </w:r>
      <w:r w:rsidR="00DF02B5" w:rsidRPr="00F41405"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  <w:t xml:space="preserve">Holzindustrie Schweighofer </w:t>
      </w:r>
      <w:r w:rsidRPr="00F41405"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  <w:t>további intézkedéseket vezetette be a közelmúltban a fenntarthat</w:t>
      </w:r>
      <w:r w:rsidR="00F51309">
        <w:rPr>
          <w:rFonts w:eastAsiaTheme="majorEastAsia" w:cstheme="majorBidi"/>
          <w:b/>
          <w:bCs/>
          <w:iCs/>
          <w:color w:val="000000" w:themeColor="text1"/>
          <w:sz w:val="16"/>
          <w:szCs w:val="16"/>
          <w:lang w:val="hu-HU"/>
        </w:rPr>
        <w:t>ó erdőgazdálkodásért Romániában</w:t>
      </w:r>
    </w:p>
    <w:p w:rsidR="005D53C0" w:rsidRPr="00F41405" w:rsidRDefault="005D53C0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Az FSC® elvek gyakorlatba ültetését 1,04 millió euróval támogattuk Romániában</w:t>
      </w:r>
    </w:p>
    <w:p w:rsidR="005D53C0" w:rsidRPr="00F41405" w:rsidRDefault="005D53C0" w:rsidP="00F51309">
      <w:pPr>
        <w:pStyle w:val="ListParagraph"/>
        <w:spacing w:after="160" w:line="254" w:lineRule="auto"/>
        <w:rPr>
          <w:bCs/>
          <w:sz w:val="16"/>
          <w:szCs w:val="16"/>
          <w:lang w:val="hu-HU"/>
        </w:rPr>
      </w:pPr>
      <w:r w:rsidRPr="00F51309">
        <w:rPr>
          <w:bCs/>
          <w:sz w:val="16"/>
          <w:szCs w:val="16"/>
          <w:lang w:val="hu-HU"/>
        </w:rPr>
        <w:t>A vállalat több mint egy millió euróval támogatta, a romániai ellátási láncot, annak érdekében, hogy összhangba kerüljön az FSC® normákkal. Azon dolgozunk, hogy meggyőzzük partnereinket</w:t>
      </w:r>
      <w:r w:rsidRPr="00F41405">
        <w:rPr>
          <w:bCs/>
          <w:sz w:val="16"/>
          <w:szCs w:val="16"/>
          <w:lang w:val="hu-HU"/>
        </w:rPr>
        <w:t>, hogy megszerezzék az FSC® tanúsítványt. Már 2012-től a HS bónuszt ajánlott fel azoknak, akik FSC® CoC tanúsítvánnyal rendelkező faanyagot szállítottak. Kezdetben 5 lej bónusz járt a rönkfa köbméteréért, utána pedig, 2016-ban ezt az összeget felemeltük 10 lejre. 2012-től összesen 4,77 millió lejt (1,04 millió euró) fizetett a vállalat bónusz formájában FSC® tanúsítvánnyal rendelkező faanyagért.</w:t>
      </w:r>
    </w:p>
    <w:p w:rsidR="005D53C0" w:rsidRPr="00F41405" w:rsidRDefault="005D53C0" w:rsidP="005C580A">
      <w:pPr>
        <w:pStyle w:val="ListParagraph"/>
        <w:spacing w:after="160" w:line="254" w:lineRule="auto"/>
        <w:rPr>
          <w:b/>
          <w:bCs/>
          <w:sz w:val="16"/>
          <w:szCs w:val="16"/>
          <w:lang w:val="hu-HU"/>
        </w:rPr>
      </w:pPr>
    </w:p>
    <w:p w:rsidR="00DF02B5" w:rsidRPr="00F41405" w:rsidRDefault="00DF02B5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GPS</w:t>
      </w:r>
      <w:r w:rsidR="00F51309">
        <w:rPr>
          <w:b/>
          <w:bCs/>
          <w:sz w:val="16"/>
          <w:szCs w:val="16"/>
          <w:lang w:val="hu-HU"/>
        </w:rPr>
        <w:t xml:space="preserve"> nyomkövető</w:t>
      </w:r>
      <w:r w:rsidRPr="00F41405">
        <w:rPr>
          <w:b/>
          <w:bCs/>
          <w:sz w:val="16"/>
          <w:szCs w:val="16"/>
          <w:lang w:val="hu-HU"/>
        </w:rPr>
        <w:t xml:space="preserve"> – </w:t>
      </w:r>
      <w:r w:rsidR="00F51309">
        <w:rPr>
          <w:b/>
          <w:bCs/>
          <w:sz w:val="16"/>
          <w:szCs w:val="16"/>
          <w:lang w:val="hu-HU"/>
        </w:rPr>
        <w:t>Átláthatóság az ellátási láncban</w:t>
      </w:r>
    </w:p>
    <w:p w:rsidR="00DF02B5" w:rsidRPr="00F41405" w:rsidRDefault="005D53C0" w:rsidP="005C580A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>A HS kifejlesztett és gyakorlatba ültetett egy GPS nyomkövető rendszert, amelyet direkt beszállítóival szemben alkalmaz (Timflow). Beszállítóinknak hamarosan kötelező lesz, hogy érkezéskor bemutassák a jármű útját, az érvényben levő előírások által is megkövetelt dokumentumok mellett. Ezzel az intézkedéssel megbizonyosodhatunk, hogy a rakomány valóban a dokumentumokban is megjelölt helyszínről érkezik. A rendszer hamarosan bárki számára elérhető lesz.</w:t>
      </w:r>
    </w:p>
    <w:p w:rsidR="005D53C0" w:rsidRPr="00F41405" w:rsidRDefault="005D53C0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Jobb k</w:t>
      </w:r>
      <w:r w:rsidR="00F51309">
        <w:rPr>
          <w:b/>
          <w:bCs/>
          <w:sz w:val="16"/>
          <w:szCs w:val="16"/>
          <w:lang w:val="hu-HU"/>
        </w:rPr>
        <w:t>onzultálás az érdekelt felekkel</w:t>
      </w:r>
    </w:p>
    <w:p w:rsidR="005D53C0" w:rsidRPr="00F41405" w:rsidRDefault="005D53C0" w:rsidP="005C580A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 xml:space="preserve">Az elmúlt két évben a </w:t>
      </w:r>
      <w:r w:rsidRPr="00F41405">
        <w:rPr>
          <w:sz w:val="16"/>
          <w:szCs w:val="16"/>
          <w:lang w:val="hu-HU"/>
        </w:rPr>
        <w:t>Holzindustrie Schweighofer</w:t>
      </w:r>
      <w:r w:rsidRPr="00F41405">
        <w:rPr>
          <w:sz w:val="16"/>
          <w:szCs w:val="16"/>
          <w:lang w:val="hu-HU"/>
        </w:rPr>
        <w:t xml:space="preserve"> megerősítette a párbeszédet minden érdekelt féllel</w:t>
      </w:r>
      <w:r w:rsidR="00F51309">
        <w:rPr>
          <w:sz w:val="16"/>
          <w:szCs w:val="16"/>
          <w:lang w:val="hu-HU"/>
        </w:rPr>
        <w:t>.</w:t>
      </w:r>
    </w:p>
    <w:p w:rsidR="00DF02B5" w:rsidRPr="00F41405" w:rsidRDefault="005D53C0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 xml:space="preserve">Átfogó audit, amelyet a híres </w:t>
      </w:r>
      <w:r w:rsidRPr="00F41405">
        <w:rPr>
          <w:b/>
          <w:bCs/>
          <w:sz w:val="16"/>
          <w:szCs w:val="16"/>
          <w:lang w:val="hu-HU"/>
        </w:rPr>
        <w:t>Indufor</w:t>
      </w:r>
      <w:r w:rsidRPr="00F41405">
        <w:rPr>
          <w:b/>
          <w:bCs/>
          <w:sz w:val="16"/>
          <w:szCs w:val="16"/>
          <w:lang w:val="hu-HU"/>
        </w:rPr>
        <w:t xml:space="preserve"> csoport készített</w:t>
      </w:r>
    </w:p>
    <w:p w:rsidR="005C580A" w:rsidRPr="00F51309" w:rsidRDefault="005D53C0" w:rsidP="00F51309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 xml:space="preserve">2016 januárjában a </w:t>
      </w:r>
      <w:r w:rsidRPr="00F41405">
        <w:rPr>
          <w:sz w:val="16"/>
          <w:szCs w:val="16"/>
          <w:lang w:val="hu-HU"/>
        </w:rPr>
        <w:t>Holzindustrie Schweighofer</w:t>
      </w:r>
      <w:r w:rsidRPr="00F41405">
        <w:rPr>
          <w:sz w:val="16"/>
          <w:szCs w:val="16"/>
          <w:lang w:val="hu-HU"/>
        </w:rPr>
        <w:t xml:space="preserve"> alaposan kielemezte munkafolyamatait, </w:t>
      </w:r>
      <w:r w:rsidR="00F51309">
        <w:rPr>
          <w:sz w:val="16"/>
          <w:szCs w:val="16"/>
          <w:lang w:val="hu-HU"/>
        </w:rPr>
        <w:t xml:space="preserve">Az Indufor csoport </w:t>
      </w:r>
      <w:r w:rsidRPr="00F41405">
        <w:rPr>
          <w:sz w:val="16"/>
          <w:szCs w:val="16"/>
          <w:lang w:val="hu-HU"/>
        </w:rPr>
        <w:t>minden munkapontunkon, de az ellátási lá</w:t>
      </w:r>
      <w:r w:rsidR="00F51309">
        <w:rPr>
          <w:sz w:val="16"/>
          <w:szCs w:val="16"/>
          <w:lang w:val="hu-HU"/>
        </w:rPr>
        <w:t>ncban is ellenőrzéseket végezett</w:t>
      </w:r>
      <w:r w:rsidRPr="00F41405">
        <w:rPr>
          <w:sz w:val="16"/>
          <w:szCs w:val="16"/>
          <w:lang w:val="hu-HU"/>
        </w:rPr>
        <w:t xml:space="preserve">. Az ő következtetésük az volt, hogy </w:t>
      </w:r>
      <w:r w:rsidR="005C580A" w:rsidRPr="00F41405">
        <w:rPr>
          <w:sz w:val="16"/>
          <w:szCs w:val="16"/>
          <w:lang w:val="hu-HU"/>
        </w:rPr>
        <w:t>a HS due diligence rendszere túllép a törvényes előírásokon, és teljes mértékben tiszteletben tartja</w:t>
      </w:r>
      <w:r w:rsidR="005C580A" w:rsidRPr="00F41405">
        <w:rPr>
          <w:sz w:val="16"/>
          <w:szCs w:val="16"/>
          <w:lang w:val="hu-HU"/>
        </w:rPr>
        <w:t xml:space="preserve"> a főbb tanúsítási rendszereket, ugyanakkor összhangban van </w:t>
      </w:r>
      <w:r w:rsidR="005C580A" w:rsidRPr="00F41405">
        <w:rPr>
          <w:sz w:val="16"/>
          <w:szCs w:val="16"/>
          <w:lang w:val="hu-HU"/>
        </w:rPr>
        <w:t>az uniós fa- és fatermékpiaci rendelettel (EUTR)</w:t>
      </w:r>
      <w:r w:rsidR="005C580A" w:rsidRPr="00F41405">
        <w:rPr>
          <w:sz w:val="16"/>
          <w:szCs w:val="16"/>
          <w:lang w:val="hu-HU"/>
        </w:rPr>
        <w:t xml:space="preserve">. </w:t>
      </w:r>
      <w:r w:rsidR="00DF02B5" w:rsidRPr="00F41405">
        <w:rPr>
          <w:sz w:val="16"/>
          <w:szCs w:val="16"/>
          <w:lang w:val="hu-HU"/>
        </w:rPr>
        <w:t>(</w:t>
      </w:r>
      <w:hyperlink r:id="rId7" w:history="1">
        <w:r w:rsidR="00DF02B5" w:rsidRPr="00F41405">
          <w:rPr>
            <w:rStyle w:val="Hyperlink"/>
            <w:sz w:val="16"/>
            <w:szCs w:val="16"/>
            <w:lang w:val="hu-HU"/>
          </w:rPr>
          <w:t>https://www.schweighofer.at/fileadmin /files/all_en/Press/HS_Indufor_Communication_Report.pdf</w:t>
        </w:r>
      </w:hyperlink>
      <w:r w:rsidR="00DF02B5" w:rsidRPr="00F41405">
        <w:rPr>
          <w:sz w:val="16"/>
          <w:szCs w:val="16"/>
          <w:lang w:val="hu-HU"/>
        </w:rPr>
        <w:t>).</w:t>
      </w:r>
    </w:p>
    <w:p w:rsidR="005C580A" w:rsidRPr="00F41405" w:rsidRDefault="005C580A" w:rsidP="005C580A">
      <w:pPr>
        <w:pStyle w:val="ListParagraph"/>
        <w:numPr>
          <w:ilvl w:val="0"/>
          <w:numId w:val="5"/>
        </w:numPr>
        <w:spacing w:after="160" w:line="254" w:lineRule="auto"/>
        <w:rPr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Szigorúbb ellenőrzés az érzékenyebb erdős területeken</w:t>
      </w:r>
    </w:p>
    <w:p w:rsidR="005C580A" w:rsidRPr="00F41405" w:rsidRDefault="005C580A" w:rsidP="005C580A">
      <w:pPr>
        <w:pStyle w:val="ListParagraph"/>
        <w:spacing w:after="160" w:line="254" w:lineRule="auto"/>
        <w:rPr>
          <w:sz w:val="16"/>
          <w:szCs w:val="16"/>
          <w:lang w:val="hu-HU"/>
        </w:rPr>
      </w:pPr>
      <w:r w:rsidRPr="00F41405">
        <w:rPr>
          <w:bCs/>
          <w:sz w:val="16"/>
          <w:szCs w:val="16"/>
          <w:lang w:val="hu-HU"/>
        </w:rPr>
        <w:t>A</w:t>
      </w:r>
      <w:r w:rsidRPr="00F41405">
        <w:rPr>
          <w:sz w:val="16"/>
          <w:szCs w:val="16"/>
          <w:lang w:val="hu-HU"/>
        </w:rPr>
        <w:t xml:space="preserve"> </w:t>
      </w:r>
      <w:r w:rsidRPr="00F41405">
        <w:rPr>
          <w:sz w:val="16"/>
          <w:szCs w:val="16"/>
          <w:lang w:val="hu-HU"/>
        </w:rPr>
        <w:t>Holzindustrie Schweighofer</w:t>
      </w:r>
      <w:r w:rsidRPr="00F41405">
        <w:rPr>
          <w:sz w:val="16"/>
          <w:szCs w:val="16"/>
          <w:lang w:val="hu-HU"/>
        </w:rPr>
        <w:t xml:space="preserve"> egy olyan kockázatcsökkentő rendszert dolgozott ki, amely az </w:t>
      </w:r>
      <w:r w:rsidR="00503222" w:rsidRPr="00F41405">
        <w:rPr>
          <w:sz w:val="16"/>
          <w:szCs w:val="16"/>
          <w:lang w:val="hu-HU"/>
        </w:rPr>
        <w:t>Erdőgazdálkodási Tanúsításért Egyesület</w:t>
      </w:r>
      <w:r w:rsidRPr="00F41405">
        <w:rPr>
          <w:sz w:val="16"/>
          <w:szCs w:val="16"/>
          <w:lang w:val="hu-HU"/>
        </w:rPr>
        <w:t xml:space="preserve"> által kidolgozott térképeken alapul. Ez a térkép azokat az erdőket jelöli, amelyekben az illegális kitermelés kockázata magas. Abban az esetben, ha vállalatunk ezekről a területekről vásárol faanyagot, nagyfokú óvatossággal jár el, az árukísérő dokumentumok m</w:t>
      </w:r>
      <w:r w:rsidR="00F51309">
        <w:rPr>
          <w:sz w:val="16"/>
          <w:szCs w:val="16"/>
          <w:lang w:val="hu-HU"/>
        </w:rPr>
        <w:t>ég alaposabb ellenőrzése által.</w:t>
      </w:r>
    </w:p>
    <w:p w:rsidR="00DF02B5" w:rsidRPr="00F41405" w:rsidRDefault="005C580A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sz w:val="16"/>
          <w:szCs w:val="16"/>
          <w:lang w:val="hu-HU"/>
        </w:rPr>
        <w:lastRenderedPageBreak/>
        <w:t xml:space="preserve">Megerősítettük a </w:t>
      </w:r>
      <w:r w:rsidRPr="00F41405">
        <w:rPr>
          <w:b/>
          <w:sz w:val="16"/>
          <w:szCs w:val="16"/>
          <w:lang w:val="hu-HU"/>
        </w:rPr>
        <w:t>megfelelésért dolgozó csapat</w:t>
      </w:r>
      <w:r w:rsidRPr="00F41405">
        <w:rPr>
          <w:b/>
          <w:sz w:val="16"/>
          <w:szCs w:val="16"/>
          <w:lang w:val="hu-HU"/>
        </w:rPr>
        <w:t>ot</w:t>
      </w:r>
    </w:p>
    <w:p w:rsidR="00C6607B" w:rsidRPr="00F41405" w:rsidRDefault="005C580A" w:rsidP="00083C57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 xml:space="preserve">Egy teljes due diligence rendszer létrehozása komoly humánerőforrást igénylő feladat. Az utóbbi hónapokban </w:t>
      </w:r>
      <w:r w:rsidR="00C6607B" w:rsidRPr="00F41405">
        <w:rPr>
          <w:sz w:val="16"/>
          <w:szCs w:val="16"/>
          <w:lang w:val="hu-HU"/>
        </w:rPr>
        <w:t xml:space="preserve">a HS újabb felelős személyeket </w:t>
      </w:r>
      <w:r w:rsidRPr="00F41405">
        <w:rPr>
          <w:sz w:val="16"/>
          <w:szCs w:val="16"/>
          <w:lang w:val="hu-HU"/>
        </w:rPr>
        <w:t>a</w:t>
      </w:r>
      <w:r w:rsidR="00C6607B" w:rsidRPr="00F41405">
        <w:rPr>
          <w:sz w:val="16"/>
          <w:szCs w:val="16"/>
          <w:lang w:val="hu-HU"/>
        </w:rPr>
        <w:t>lkalmazott. Jelen pillanatban 16 személy</w:t>
      </w:r>
      <w:r w:rsidRPr="00F41405">
        <w:rPr>
          <w:sz w:val="16"/>
          <w:szCs w:val="16"/>
          <w:lang w:val="hu-HU"/>
        </w:rPr>
        <w:t xml:space="preserve"> dolgozik a HS tanúsítv</w:t>
      </w:r>
      <w:r w:rsidR="00C6607B" w:rsidRPr="00F41405">
        <w:rPr>
          <w:sz w:val="16"/>
          <w:szCs w:val="16"/>
          <w:lang w:val="hu-HU"/>
        </w:rPr>
        <w:t>ányokkal foglalkozó csapatában.</w:t>
      </w:r>
    </w:p>
    <w:p w:rsidR="00DF02B5" w:rsidRPr="00F41405" w:rsidRDefault="00083C57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sz w:val="16"/>
          <w:szCs w:val="16"/>
          <w:lang w:val="hu-HU"/>
        </w:rPr>
        <w:t xml:space="preserve">Beszállítók felfüggesztése, akik megsértették a </w:t>
      </w:r>
      <w:r w:rsidRPr="00F41405">
        <w:rPr>
          <w:b/>
          <w:bCs/>
          <w:sz w:val="16"/>
          <w:szCs w:val="16"/>
          <w:lang w:val="hu-HU"/>
        </w:rPr>
        <w:t xml:space="preserve">Holzindustrie Schweighofer </w:t>
      </w:r>
      <w:r w:rsidRPr="00F41405">
        <w:rPr>
          <w:b/>
          <w:sz w:val="16"/>
          <w:szCs w:val="16"/>
          <w:lang w:val="hu-HU"/>
        </w:rPr>
        <w:t>beszerzési politikáját</w:t>
      </w:r>
    </w:p>
    <w:p w:rsidR="00083C57" w:rsidRPr="00F41405" w:rsidRDefault="00083C57" w:rsidP="005C580A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>Abban az esetben, hogyha a beszállító nem tartja tiszteletben a vállalatunk beszerzési politikáját, kizárjuk el</w:t>
      </w:r>
      <w:r w:rsidR="00F51309">
        <w:rPr>
          <w:sz w:val="16"/>
          <w:szCs w:val="16"/>
          <w:lang w:val="hu-HU"/>
        </w:rPr>
        <w:t>látási láncunkból.</w:t>
      </w:r>
    </w:p>
    <w:p w:rsidR="00DF02B5" w:rsidRPr="00F41405" w:rsidRDefault="00083C57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 xml:space="preserve">A </w:t>
      </w:r>
      <w:r w:rsidR="00DF02B5" w:rsidRPr="00F41405">
        <w:rPr>
          <w:b/>
          <w:bCs/>
          <w:sz w:val="16"/>
          <w:szCs w:val="16"/>
          <w:lang w:val="hu-HU"/>
        </w:rPr>
        <w:t>Holzindustrie Schweighofer</w:t>
      </w:r>
      <w:r w:rsidRPr="00F41405">
        <w:rPr>
          <w:b/>
          <w:bCs/>
          <w:sz w:val="16"/>
          <w:szCs w:val="16"/>
          <w:lang w:val="hu-HU"/>
        </w:rPr>
        <w:t xml:space="preserve"> nem fogad el fát nemzeti parkokból</w:t>
      </w:r>
    </w:p>
    <w:p w:rsidR="00083C57" w:rsidRPr="00F41405" w:rsidRDefault="00083C57" w:rsidP="00083C57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>A HS már bevezette Romániában a „Zéró szállítmány a Nemzeti Parkokból” elvét, annak ellenére, hogy a törvénykezés ezt bizonyos feltételekkel, a nemzeti parkok puffer-zónáiban lehetővé teszi.</w:t>
      </w:r>
    </w:p>
    <w:p w:rsidR="00DF02B5" w:rsidRPr="00F41405" w:rsidRDefault="00083C57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Megfelelési és korrupció ellenes kiképzés</w:t>
      </w:r>
    </w:p>
    <w:p w:rsidR="00503222" w:rsidRPr="00F41405" w:rsidRDefault="00503222" w:rsidP="005C580A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>A HS beszerzési osztályán dolgozó alkalmazottak számára kötelező, hogy rendszeresen részt vegyenek olyan képzéseken, ahol a megfelelési szabályokról és korrupció ellenes eljárásokról</w:t>
      </w:r>
      <w:r w:rsidRPr="00F41405">
        <w:rPr>
          <w:sz w:val="16"/>
          <w:szCs w:val="16"/>
          <w:lang w:val="hu-HU"/>
        </w:rPr>
        <w:t xml:space="preserve"> </w:t>
      </w:r>
      <w:r w:rsidRPr="00F41405">
        <w:rPr>
          <w:sz w:val="16"/>
          <w:szCs w:val="16"/>
          <w:lang w:val="hu-HU"/>
        </w:rPr>
        <w:t>tanulnak.</w:t>
      </w:r>
    </w:p>
    <w:p w:rsidR="00DF02B5" w:rsidRPr="00F41405" w:rsidRDefault="00DF02B5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Schweighofer-initiative.org</w:t>
      </w:r>
    </w:p>
    <w:p w:rsidR="00503222" w:rsidRPr="00F41405" w:rsidRDefault="00503222" w:rsidP="00503222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>Hogy jobban tudjuk kommunikálni a vállalat tevékenységeinek fenntarthatóságát, elindítottuk a www.schweighofer-initiative.org weboldalt. Ezt a weboldalt arra használjuk, hogy közzétegyük nyilatkozatainkat, jelentéseinket, amelyek a</w:t>
      </w:r>
      <w:r w:rsidR="00F51309">
        <w:rPr>
          <w:sz w:val="16"/>
          <w:szCs w:val="16"/>
          <w:lang w:val="hu-HU"/>
        </w:rPr>
        <w:t xml:space="preserve"> fenntarthatóság érdekében tett</w:t>
      </w:r>
      <w:r w:rsidRPr="00F41405">
        <w:rPr>
          <w:sz w:val="16"/>
          <w:szCs w:val="16"/>
          <w:lang w:val="hu-HU"/>
        </w:rPr>
        <w:t xml:space="preserve"> erőfeszítésekről számolnak be.</w:t>
      </w:r>
    </w:p>
    <w:p w:rsidR="00DF02B5" w:rsidRPr="00F41405" w:rsidRDefault="00503222" w:rsidP="005C580A">
      <w:pPr>
        <w:pStyle w:val="ListParagraph"/>
        <w:numPr>
          <w:ilvl w:val="0"/>
          <w:numId w:val="5"/>
        </w:numPr>
        <w:spacing w:after="160" w:line="254" w:lineRule="auto"/>
        <w:rPr>
          <w:b/>
          <w:bCs/>
          <w:sz w:val="16"/>
          <w:szCs w:val="16"/>
          <w:lang w:val="hu-HU"/>
        </w:rPr>
      </w:pPr>
      <w:r w:rsidRPr="00F41405">
        <w:rPr>
          <w:b/>
          <w:bCs/>
          <w:sz w:val="16"/>
          <w:szCs w:val="16"/>
          <w:lang w:val="hu-HU"/>
        </w:rPr>
        <w:t>Nyílt párbeszéd a civil szervezetekkel</w:t>
      </w:r>
    </w:p>
    <w:p w:rsidR="00F41405" w:rsidRPr="00F41405" w:rsidRDefault="00F41405" w:rsidP="005C580A">
      <w:pPr>
        <w:pStyle w:val="ListParagraph"/>
        <w:rPr>
          <w:sz w:val="16"/>
          <w:szCs w:val="16"/>
          <w:lang w:val="hu-HU"/>
        </w:rPr>
      </w:pPr>
      <w:r w:rsidRPr="00F41405">
        <w:rPr>
          <w:sz w:val="16"/>
          <w:szCs w:val="16"/>
          <w:lang w:val="hu-HU"/>
        </w:rPr>
        <w:t xml:space="preserve">A </w:t>
      </w:r>
      <w:r w:rsidR="00DF02B5" w:rsidRPr="00F41405">
        <w:rPr>
          <w:sz w:val="16"/>
          <w:szCs w:val="16"/>
          <w:lang w:val="hu-HU"/>
        </w:rPr>
        <w:t>Holzindustrie Schweighofer</w:t>
      </w:r>
      <w:r w:rsidRPr="00F41405">
        <w:rPr>
          <w:sz w:val="16"/>
          <w:szCs w:val="16"/>
          <w:lang w:val="hu-HU"/>
        </w:rPr>
        <w:t xml:space="preserve"> párbeszédet folytat minden érdekelt féllel</w:t>
      </w:r>
      <w:r w:rsidR="00F51309">
        <w:rPr>
          <w:sz w:val="16"/>
          <w:szCs w:val="16"/>
          <w:lang w:val="hu-HU"/>
        </w:rPr>
        <w:t>, azért</w:t>
      </w:r>
      <w:r w:rsidRPr="00F41405">
        <w:rPr>
          <w:sz w:val="16"/>
          <w:szCs w:val="16"/>
          <w:lang w:val="hu-HU"/>
        </w:rPr>
        <w:t>, hogy megalapozzuk egy olyan faipar jövőjét, amely fenntartható erdőgazdálkodáson alapszik.</w:t>
      </w:r>
    </w:p>
    <w:p w:rsidR="00DF02B5" w:rsidRPr="00F41405" w:rsidRDefault="00DF02B5" w:rsidP="005C580A">
      <w:pPr>
        <w:pStyle w:val="NoSpacing"/>
        <w:spacing w:line="276" w:lineRule="auto"/>
        <w:jc w:val="left"/>
        <w:rPr>
          <w:b w:val="0"/>
          <w:sz w:val="16"/>
          <w:szCs w:val="16"/>
          <w:lang w:val="hu-HU"/>
        </w:rPr>
      </w:pPr>
    </w:p>
    <w:p w:rsidR="00F51309" w:rsidRDefault="00F51309" w:rsidP="005C580A">
      <w:pPr>
        <w:pStyle w:val="NoSpacing"/>
        <w:jc w:val="left"/>
        <w:rPr>
          <w:szCs w:val="16"/>
          <w:lang w:val="hu-HU"/>
        </w:rPr>
      </w:pPr>
      <w:r>
        <w:rPr>
          <w:szCs w:val="16"/>
          <w:lang w:val="hu-HU"/>
        </w:rPr>
        <w:t xml:space="preserve">További információért </w:t>
      </w:r>
      <w:proofErr w:type="gramStart"/>
      <w:r>
        <w:rPr>
          <w:szCs w:val="16"/>
          <w:lang w:val="hu-HU"/>
        </w:rPr>
        <w:t>kérjük</w:t>
      </w:r>
      <w:proofErr w:type="gramEnd"/>
      <w:r>
        <w:rPr>
          <w:szCs w:val="16"/>
          <w:lang w:val="hu-HU"/>
        </w:rPr>
        <w:t xml:space="preserve"> forduljanak az alábbi személyhez:</w:t>
      </w:r>
    </w:p>
    <w:p w:rsidR="00DF02B5" w:rsidRPr="00F41405" w:rsidRDefault="00DF02B5" w:rsidP="005C580A">
      <w:pPr>
        <w:pStyle w:val="NoSpacing"/>
        <w:jc w:val="left"/>
        <w:rPr>
          <w:b w:val="0"/>
          <w:szCs w:val="16"/>
          <w:lang w:val="hu-HU"/>
        </w:rPr>
      </w:pPr>
      <w:r w:rsidRPr="00F41405">
        <w:rPr>
          <w:b w:val="0"/>
          <w:szCs w:val="16"/>
          <w:lang w:val="hu-HU"/>
        </w:rPr>
        <w:t>Thomas Huemer</w:t>
      </w:r>
    </w:p>
    <w:p w:rsidR="00DF02B5" w:rsidRPr="00F41405" w:rsidRDefault="00DF02B5" w:rsidP="005C580A">
      <w:pPr>
        <w:pStyle w:val="NoSpacing"/>
        <w:jc w:val="left"/>
        <w:rPr>
          <w:b w:val="0"/>
          <w:szCs w:val="16"/>
          <w:lang w:val="hu-HU"/>
        </w:rPr>
      </w:pPr>
      <w:r w:rsidRPr="00F41405">
        <w:rPr>
          <w:b w:val="0"/>
          <w:szCs w:val="16"/>
          <w:lang w:val="hu-HU"/>
        </w:rPr>
        <w:t>Head of Corporate Communications</w:t>
      </w:r>
    </w:p>
    <w:p w:rsidR="00DF02B5" w:rsidRPr="00F41405" w:rsidRDefault="00DF02B5" w:rsidP="005C580A">
      <w:pPr>
        <w:pStyle w:val="NoSpacing"/>
        <w:jc w:val="left"/>
        <w:rPr>
          <w:b w:val="0"/>
          <w:szCs w:val="16"/>
          <w:lang w:val="hu-HU"/>
        </w:rPr>
      </w:pPr>
      <w:r w:rsidRPr="00F41405">
        <w:rPr>
          <w:b w:val="0"/>
          <w:szCs w:val="16"/>
          <w:lang w:val="hu-HU"/>
        </w:rPr>
        <w:t>Tel: +43 1 585 68 62 -24</w:t>
      </w:r>
    </w:p>
    <w:p w:rsidR="00DF02B5" w:rsidRPr="00F41405" w:rsidRDefault="00DF02B5" w:rsidP="005C580A">
      <w:pPr>
        <w:pStyle w:val="NoSpacing"/>
        <w:jc w:val="left"/>
        <w:rPr>
          <w:b w:val="0"/>
          <w:szCs w:val="16"/>
          <w:lang w:val="hu-HU"/>
        </w:rPr>
      </w:pPr>
      <w:r w:rsidRPr="00F41405">
        <w:rPr>
          <w:b w:val="0"/>
          <w:szCs w:val="16"/>
          <w:lang w:val="hu-HU"/>
        </w:rPr>
        <w:t>E-mail: thomas.huemer@schweighofer.at</w:t>
      </w:r>
    </w:p>
    <w:p w:rsidR="00DF02B5" w:rsidRPr="00F41405" w:rsidRDefault="00DF02B5" w:rsidP="005C580A">
      <w:pPr>
        <w:rPr>
          <w:lang w:val="hu-HU"/>
        </w:rPr>
      </w:pPr>
    </w:p>
    <w:p w:rsidR="00DE23AA" w:rsidRPr="00F41405" w:rsidRDefault="00DE23AA" w:rsidP="005C580A">
      <w:pPr>
        <w:rPr>
          <w:lang w:val="hu-HU"/>
        </w:rPr>
      </w:pPr>
      <w:bookmarkStart w:id="0" w:name="_GoBack"/>
      <w:bookmarkEnd w:id="0"/>
    </w:p>
    <w:sectPr w:rsidR="00DE23AA" w:rsidRPr="00F4140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77" w:rsidRDefault="00F46477">
      <w:pPr>
        <w:spacing w:after="0" w:line="240" w:lineRule="auto"/>
      </w:pPr>
      <w:r>
        <w:separator/>
      </w:r>
    </w:p>
  </w:endnote>
  <w:endnote w:type="continuationSeparator" w:id="0">
    <w:p w:rsidR="00F46477" w:rsidRDefault="00F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77" w:rsidRDefault="00F46477">
      <w:pPr>
        <w:spacing w:after="0" w:line="240" w:lineRule="auto"/>
      </w:pPr>
      <w:r>
        <w:separator/>
      </w:r>
    </w:p>
  </w:footnote>
  <w:footnote w:type="continuationSeparator" w:id="0">
    <w:p w:rsidR="00F46477" w:rsidRDefault="00F4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21" w:rsidRDefault="00845269">
    <w:pPr>
      <w:pStyle w:val="Header"/>
    </w:pPr>
    <w:r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BA9DA72" wp14:editId="6E2E496A">
          <wp:simplePos x="0" y="0"/>
          <wp:positionH relativeFrom="column">
            <wp:posOffset>5068570</wp:posOffset>
          </wp:positionH>
          <wp:positionV relativeFrom="paragraph">
            <wp:posOffset>-316230</wp:posOffset>
          </wp:positionV>
          <wp:extent cx="1221740" cy="82423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weighofer 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1E85"/>
    <w:multiLevelType w:val="hybridMultilevel"/>
    <w:tmpl w:val="C66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03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0F1"/>
    <w:multiLevelType w:val="hybridMultilevel"/>
    <w:tmpl w:val="879A9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78F7"/>
    <w:multiLevelType w:val="hybridMultilevel"/>
    <w:tmpl w:val="C6B8F9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3107"/>
    <w:multiLevelType w:val="hybridMultilevel"/>
    <w:tmpl w:val="7FB4A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7B6A"/>
    <w:multiLevelType w:val="hybridMultilevel"/>
    <w:tmpl w:val="D7B02620"/>
    <w:lvl w:ilvl="0" w:tplc="A4F6E55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8"/>
    <w:rsid w:val="000363D5"/>
    <w:rsid w:val="00083C57"/>
    <w:rsid w:val="001516AD"/>
    <w:rsid w:val="0016293E"/>
    <w:rsid w:val="001C6C3E"/>
    <w:rsid w:val="0022356E"/>
    <w:rsid w:val="002348E7"/>
    <w:rsid w:val="0028550C"/>
    <w:rsid w:val="00503222"/>
    <w:rsid w:val="00542B62"/>
    <w:rsid w:val="00557577"/>
    <w:rsid w:val="005C580A"/>
    <w:rsid w:val="005D53C0"/>
    <w:rsid w:val="005E79E1"/>
    <w:rsid w:val="006A286D"/>
    <w:rsid w:val="007C1A1B"/>
    <w:rsid w:val="00845269"/>
    <w:rsid w:val="008456CB"/>
    <w:rsid w:val="008813F8"/>
    <w:rsid w:val="009D7E33"/>
    <w:rsid w:val="00A24A20"/>
    <w:rsid w:val="00B94B57"/>
    <w:rsid w:val="00C35E88"/>
    <w:rsid w:val="00C6607B"/>
    <w:rsid w:val="00C76547"/>
    <w:rsid w:val="00D925D0"/>
    <w:rsid w:val="00DA12AA"/>
    <w:rsid w:val="00DE23AA"/>
    <w:rsid w:val="00DF02B5"/>
    <w:rsid w:val="00F35685"/>
    <w:rsid w:val="00F41405"/>
    <w:rsid w:val="00F46477"/>
    <w:rsid w:val="00F51309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DC1F2-2D66-4056-A569-68DC2ED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88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88"/>
    <w:rPr>
      <w:lang w:val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E88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E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AT"/>
    </w:rPr>
  </w:style>
  <w:style w:type="paragraph" w:styleId="ListParagraph">
    <w:name w:val="List Paragraph"/>
    <w:basedOn w:val="Normal"/>
    <w:uiPriority w:val="34"/>
    <w:qFormat/>
    <w:rsid w:val="00C35E88"/>
    <w:pPr>
      <w:ind w:left="720"/>
      <w:contextualSpacing/>
    </w:pPr>
  </w:style>
  <w:style w:type="paragraph" w:styleId="NoSpacing">
    <w:name w:val="No Spacing"/>
    <w:uiPriority w:val="1"/>
    <w:qFormat/>
    <w:rsid w:val="00C35E88"/>
    <w:pPr>
      <w:spacing w:after="0" w:line="240" w:lineRule="auto"/>
      <w:jc w:val="both"/>
    </w:pPr>
    <w:rPr>
      <w:b/>
      <w:sz w:val="20"/>
      <w:lang w:val="de-AT"/>
    </w:rPr>
  </w:style>
  <w:style w:type="character" w:styleId="Hyperlink">
    <w:name w:val="Hyperlink"/>
    <w:basedOn w:val="DefaultParagraphFont"/>
    <w:uiPriority w:val="99"/>
    <w:unhideWhenUsed/>
    <w:rsid w:val="00C35E88"/>
    <w:rPr>
      <w:color w:val="0563C1" w:themeColor="hyperlink"/>
      <w:u w:val="single"/>
    </w:rPr>
  </w:style>
  <w:style w:type="paragraph" w:customStyle="1" w:styleId="Default">
    <w:name w:val="Default"/>
    <w:rsid w:val="002348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o-RO"/>
    </w:rPr>
  </w:style>
  <w:style w:type="character" w:customStyle="1" w:styleId="shorttext">
    <w:name w:val="short_text"/>
    <w:basedOn w:val="DefaultParagraphFont"/>
    <w:rsid w:val="005C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hweighofer.at/fileadmin%20/files/all_en/Press/HS_Indufor_Communication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Mezzo</dc:creator>
  <cp:keywords/>
  <dc:description/>
  <cp:lastModifiedBy>Anna Orosz</cp:lastModifiedBy>
  <cp:revision>2</cp:revision>
  <dcterms:created xsi:type="dcterms:W3CDTF">2017-02-17T12:49:00Z</dcterms:created>
  <dcterms:modified xsi:type="dcterms:W3CDTF">2017-02-17T12:49:00Z</dcterms:modified>
</cp:coreProperties>
</file>